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70" w:rsidRDefault="00B807E7">
      <w:pPr>
        <w:pStyle w:val="OZNPROJEKTUwskazaniedatylubwersjiprojektu"/>
        <w:spacing w:after="57" w:line="276" w:lineRule="auto"/>
        <w:jc w:val="center"/>
        <w:rPr>
          <w:u w:val="none"/>
        </w:rPr>
      </w:pPr>
      <w:r>
        <w:rPr>
          <w:u w:val="none"/>
        </w:rPr>
        <w:t xml:space="preserve">Opinia  </w:t>
      </w:r>
    </w:p>
    <w:p w:rsidR="005A0670" w:rsidRDefault="00B807E7">
      <w:pPr>
        <w:pStyle w:val="OZNPROJEKTUwskazaniedatylubwersjiprojektu"/>
        <w:spacing w:after="57" w:line="276" w:lineRule="auto"/>
        <w:jc w:val="center"/>
        <w:rPr>
          <w:u w:val="none"/>
        </w:rPr>
      </w:pPr>
      <w:r>
        <w:rPr>
          <w:u w:val="none"/>
        </w:rPr>
        <w:t>Polskiego Towarzystwa Informatycznego (PTI)</w:t>
      </w:r>
    </w:p>
    <w:p w:rsidR="005A0670" w:rsidRDefault="00B807E7">
      <w:pPr>
        <w:pStyle w:val="OZNPROJEKTUwskazaniedatylubwersjiprojektu"/>
        <w:spacing w:after="57" w:line="276" w:lineRule="auto"/>
        <w:jc w:val="center"/>
        <w:rPr>
          <w:u w:val="none"/>
        </w:rPr>
      </w:pPr>
      <w:r>
        <w:rPr>
          <w:u w:val="none"/>
        </w:rPr>
        <w:t xml:space="preserve"> do projektu  Ustawy z dnia 15 czerwca 2022 roku </w:t>
      </w:r>
    </w:p>
    <w:p w:rsidR="005A0670" w:rsidRDefault="00B807E7">
      <w:pPr>
        <w:pStyle w:val="OZNPROJEKTUwskazaniedatylubwersjiprojektu"/>
        <w:spacing w:after="57" w:line="276" w:lineRule="auto"/>
        <w:jc w:val="center"/>
      </w:pPr>
      <w:r>
        <w:rPr>
          <w:u w:val="none"/>
        </w:rPr>
        <w:t xml:space="preserve"> o zwalczaniu nadużyć w komunikacji elektronicznej</w:t>
      </w:r>
    </w:p>
    <w:p w:rsidR="005A0670" w:rsidRDefault="005A0670">
      <w:pPr>
        <w:pStyle w:val="PKTpunkt"/>
        <w:spacing w:after="57" w:line="276" w:lineRule="auto"/>
        <w:rPr>
          <w:bCs w:val="0"/>
        </w:rPr>
      </w:pPr>
    </w:p>
    <w:p w:rsidR="005A0670" w:rsidRDefault="00B807E7">
      <w:pPr>
        <w:pStyle w:val="Tekstpodstawowy"/>
        <w:spacing w:after="57"/>
      </w:pPr>
      <w:r>
        <w:br/>
        <w:t xml:space="preserve">Propozycje modyfikacji </w:t>
      </w:r>
      <w:r>
        <w:t>projektu ustawy:</w:t>
      </w:r>
      <w:r>
        <w:br/>
      </w:r>
    </w:p>
    <w:p w:rsidR="005A0670" w:rsidRDefault="00B807E7">
      <w:pPr>
        <w:pStyle w:val="Tekstpodstawowy"/>
        <w:spacing w:after="57"/>
      </w:pPr>
      <w:r>
        <w:rPr>
          <w:b/>
          <w:bCs/>
        </w:rPr>
        <w:t>ad Art.</w:t>
      </w:r>
      <w:r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b/>
          <w:bCs/>
        </w:rPr>
        <w:t>pkt</w:t>
      </w:r>
      <w:r>
        <w:rPr>
          <w:b/>
          <w:bCs/>
        </w:rPr>
        <w:t xml:space="preserve"> </w:t>
      </w:r>
      <w:r>
        <w:rPr>
          <w:rFonts w:cs="Times"/>
          <w:b/>
          <w:bCs/>
        </w:rPr>
        <w:t>2</w:t>
      </w:r>
      <w:r>
        <w:rPr>
          <w:rFonts w:cs="Times"/>
        </w:rPr>
        <w:t xml:space="preserve">) zasady wnoszenia </w:t>
      </w:r>
      <w:r>
        <w:rPr>
          <w:rFonts w:cs="Times"/>
        </w:rPr>
        <w:t>sprzeciwu przez nadawcę krótkiej wiadomości tekstowej (SMS), wobec uznania treści takiej wiadomości za wyczerpującą znamiona nadużycia w komunikacji elektronicznej;</w:t>
      </w:r>
    </w:p>
    <w:p w:rsidR="005A0670" w:rsidRDefault="00B807E7">
      <w:pPr>
        <w:pStyle w:val="Tekstpodstawowy"/>
        <w:spacing w:after="57"/>
        <w:ind w:left="709"/>
        <w:rPr>
          <w:u w:val="single"/>
        </w:rPr>
      </w:pPr>
      <w:r>
        <w:rPr>
          <w:u w:val="single"/>
        </w:rPr>
        <w:t>Propozycja PTI</w:t>
      </w:r>
    </w:p>
    <w:p w:rsidR="005A0670" w:rsidRDefault="00B807E7">
      <w:pPr>
        <w:pStyle w:val="Tekstpodstawowy"/>
        <w:spacing w:after="57"/>
        <w:ind w:left="709"/>
      </w:pPr>
      <w:r>
        <w:t>Przyjąć</w:t>
      </w:r>
      <w:r>
        <w:t>, w całym tekście ustawy, dopuszczony przez słowni</w:t>
      </w:r>
      <w:r>
        <w:t xml:space="preserve">k PWN termin </w:t>
      </w:r>
      <w:r>
        <w:rPr>
          <w:b/>
          <w:bCs/>
        </w:rPr>
        <w:t>esemes</w:t>
      </w:r>
      <w:r>
        <w:t xml:space="preserve"> (wraz z jego odmianą rzeczownikową) zamiast angielskiego skrótu SMS</w:t>
      </w:r>
      <w:r>
        <w:t xml:space="preserve"> (patrz </w:t>
      </w:r>
      <w:r>
        <w:t>„Uwaga ogólna”).</w:t>
      </w:r>
    </w:p>
    <w:p w:rsidR="005A0670" w:rsidRDefault="005A0670">
      <w:pPr>
        <w:pStyle w:val="Tekstpodstawowy"/>
        <w:spacing w:after="57"/>
        <w:rPr>
          <w:b/>
          <w:bCs/>
        </w:rPr>
      </w:pPr>
    </w:p>
    <w:p w:rsidR="005A0670" w:rsidRDefault="00B807E7">
      <w:pPr>
        <w:pStyle w:val="Tekstpodstawowy"/>
        <w:spacing w:after="57"/>
      </w:pPr>
      <w:r>
        <w:rPr>
          <w:b/>
          <w:bCs/>
        </w:rPr>
        <w:t xml:space="preserve">ad Art. </w:t>
      </w:r>
      <w:r>
        <w:rPr>
          <w:b/>
          <w:bCs/>
        </w:rPr>
        <w:t>2 pkt</w:t>
      </w:r>
      <w:r>
        <w:rPr>
          <w:b/>
          <w:bCs/>
        </w:rPr>
        <w:t xml:space="preserve"> 8)</w:t>
      </w:r>
      <w:r>
        <w:t xml:space="preserve"> poczta elektroniczna – usługę komunikacji interpersonalnej niewykorzystującą numerów, która umożliwia przekazyw</w:t>
      </w:r>
      <w:r>
        <w:t xml:space="preserve">anie komunikatu elektronicznego z wykorzystaniem standardu SMTP (Simple Mail Transfer Protocol), POP3 (Post Office Protocol), lub IMAP4 (Internet Message Access Protocol); </w:t>
      </w:r>
    </w:p>
    <w:p w:rsidR="005A0670" w:rsidRDefault="00B807E7">
      <w:pPr>
        <w:pStyle w:val="Tekstpodstawowy"/>
        <w:spacing w:after="57"/>
        <w:ind w:left="709"/>
        <w:rPr>
          <w:u w:val="single"/>
        </w:rPr>
      </w:pPr>
      <w:r>
        <w:rPr>
          <w:u w:val="single"/>
        </w:rPr>
        <w:t>Propozycja PTI</w:t>
      </w:r>
    </w:p>
    <w:p w:rsidR="005A0670" w:rsidRDefault="00B807E7">
      <w:pPr>
        <w:pStyle w:val="Tekstpodstawowy"/>
        <w:spacing w:after="57"/>
        <w:ind w:left="709"/>
      </w:pPr>
      <w:r>
        <w:t>Powyższą definicję</w:t>
      </w:r>
      <w:r>
        <w:t xml:space="preserve"> skrócić do postaci:</w:t>
      </w:r>
    </w:p>
    <w:p w:rsidR="005A0670" w:rsidRDefault="00B807E7">
      <w:pPr>
        <w:pStyle w:val="Tekstpodstawowy"/>
        <w:spacing w:after="57"/>
        <w:ind w:left="709"/>
        <w:rPr>
          <w:i/>
          <w:iCs/>
          <w:color w:val="000000"/>
        </w:rPr>
      </w:pPr>
      <w:r>
        <w:rPr>
          <w:i/>
          <w:iCs/>
          <w:color w:val="000000"/>
        </w:rPr>
        <w:t>poczta elektroni</w:t>
      </w:r>
      <w:r>
        <w:rPr>
          <w:i/>
          <w:iCs/>
          <w:color w:val="000000"/>
        </w:rPr>
        <w:t>czna – usługa przekazywania komunikatu elektronicznego z wykorzystaniem protokołu SMTP bądź protokołów będących jego rozszerzeniem.</w:t>
      </w:r>
    </w:p>
    <w:p w:rsidR="005A0670" w:rsidRDefault="00B807E7">
      <w:pPr>
        <w:pStyle w:val="Tekstpodstawowy"/>
        <w:spacing w:after="57"/>
        <w:ind w:left="709"/>
        <w:rPr>
          <w:u w:val="single"/>
        </w:rPr>
      </w:pPr>
      <w:r>
        <w:rPr>
          <w:u w:val="single"/>
        </w:rPr>
        <w:t>Komentarz PTI</w:t>
      </w:r>
    </w:p>
    <w:p w:rsidR="005A0670" w:rsidRDefault="00B807E7" w:rsidP="00DD018D">
      <w:pPr>
        <w:pStyle w:val="Tekstpodstawowy"/>
        <w:spacing w:after="57"/>
        <w:ind w:left="709"/>
      </w:pPr>
      <w:r>
        <w:t xml:space="preserve">W treści ustawy nie należy umieszczać nazw produktów/protokołów, które mogą się z czasem technicznie zmieniać i występować pod innymi nazwami – wystarczy podać jedynie charakterystyczny protokół SMTP z ogólnym dopuszczeniem protokołów go rozszerzających.  </w:t>
      </w:r>
      <w:bookmarkStart w:id="0" w:name="move107484673211"/>
      <w:bookmarkStart w:id="1" w:name="move1074846711"/>
      <w:bookmarkEnd w:id="0"/>
      <w:r>
        <w:t xml:space="preserve">Fraza </w:t>
      </w:r>
      <w:r>
        <w:rPr>
          <w:i/>
          <w:iCs/>
        </w:rPr>
        <w:t>...komunikacji interpersonalnej niewyko</w:t>
      </w:r>
      <w:r>
        <w:rPr>
          <w:i/>
          <w:iCs/>
        </w:rPr>
        <w:t>rzystującą numerów,…</w:t>
      </w:r>
      <w:r>
        <w:t xml:space="preserve"> jest niepotrzebna.</w:t>
      </w:r>
      <w:r>
        <w:br/>
      </w:r>
      <w:bookmarkEnd w:id="1"/>
    </w:p>
    <w:p w:rsidR="005A0670" w:rsidRDefault="00B807E7">
      <w:pPr>
        <w:pStyle w:val="PKTpunkt"/>
        <w:spacing w:after="57" w:line="276" w:lineRule="auto"/>
        <w:ind w:left="0" w:firstLine="0"/>
      </w:pPr>
      <w:r>
        <w:rPr>
          <w:rStyle w:val="Ppogrubienie"/>
          <w:rFonts w:ascii="Times New Roman" w:hAnsi="Times New Roman" w:cs="Times"/>
          <w:szCs w:val="24"/>
        </w:rPr>
        <w:t>ad Art. 3. ust.</w:t>
      </w:r>
      <w:r>
        <w:rPr>
          <w:rStyle w:val="Ppogrubienie"/>
          <w:rFonts w:ascii="Times New Roman" w:hAnsi="Times New Roman" w:cs="Times"/>
          <w:szCs w:val="24"/>
        </w:rPr>
        <w:t xml:space="preserve"> </w:t>
      </w:r>
      <w:r>
        <w:rPr>
          <w:rFonts w:cs="Times"/>
          <w:b/>
        </w:rPr>
        <w:t>1</w:t>
      </w:r>
      <w:r>
        <w:rPr>
          <w:rFonts w:cs="Times"/>
          <w:b/>
        </w:rPr>
        <w:t>. pkt</w:t>
      </w:r>
      <w:r>
        <w:rPr>
          <w:rFonts w:cs="Times"/>
          <w:b/>
        </w:rPr>
        <w:t xml:space="preserve"> 1) </w:t>
      </w:r>
      <w:r>
        <w:rPr>
          <w:rFonts w:cs="Times"/>
        </w:rPr>
        <w:t>inicjowania wysyłania lub odbierania komunikatów elektronicznych lub połączeń głosowych w sieci telekomunikacyjnej z wykorzystaniem urządzeń telekomunikacyjnych lub programów, których celem</w:t>
      </w:r>
      <w:r>
        <w:rPr>
          <w:rFonts w:cs="Times"/>
        </w:rPr>
        <w:t xml:space="preserve"> nie jest skorzystanie z usługi telekomunikacyjnej, lecz ich zarejestrowanie na punkcie połączenia sieci telekomunikacyjnych bądź przez systemy rozliczeniowe (sztuczny ruch);</w:t>
      </w:r>
    </w:p>
    <w:p w:rsidR="005A0670" w:rsidRDefault="00B807E7">
      <w:pPr>
        <w:pStyle w:val="Tekstpodstawowy"/>
        <w:spacing w:after="57"/>
        <w:ind w:left="709"/>
        <w:rPr>
          <w:u w:val="single"/>
        </w:rPr>
      </w:pPr>
      <w:r>
        <w:rPr>
          <w:u w:val="single"/>
        </w:rPr>
        <w:t>Propozycja PTI</w:t>
      </w:r>
    </w:p>
    <w:p w:rsidR="005A0670" w:rsidRDefault="00B807E7">
      <w:pPr>
        <w:pStyle w:val="Tekstpodstawowy"/>
        <w:spacing w:after="57"/>
        <w:ind w:left="709"/>
      </w:pPr>
      <w:r>
        <w:t>Usunąć frazę</w:t>
      </w:r>
    </w:p>
    <w:p w:rsidR="005A0670" w:rsidRDefault="00B807E7">
      <w:pPr>
        <w:pStyle w:val="Tekstpodstawowy"/>
        <w:spacing w:after="57"/>
        <w:ind w:left="709"/>
        <w:rPr>
          <w:rFonts w:ascii="Times New Roman" w:hAnsi="Times New Roman"/>
          <w:i/>
          <w:iCs/>
        </w:rPr>
      </w:pPr>
      <w:r>
        <w:t xml:space="preserve"> </w:t>
      </w:r>
      <w:r>
        <w:rPr>
          <w:rFonts w:ascii="Times New Roman" w:hAnsi="Times New Roman"/>
          <w:i/>
          <w:iCs/>
        </w:rPr>
        <w:t>...lub odbierania….</w:t>
      </w:r>
    </w:p>
    <w:p w:rsidR="005A0670" w:rsidRDefault="00B807E7">
      <w:pPr>
        <w:pStyle w:val="Tekstpodstawowy"/>
        <w:spacing w:after="57"/>
        <w:ind w:left="709"/>
        <w:rPr>
          <w:u w:val="single"/>
        </w:rPr>
      </w:pPr>
      <w:r>
        <w:rPr>
          <w:u w:val="single"/>
        </w:rPr>
        <w:t>Komentarz PTI</w:t>
      </w:r>
    </w:p>
    <w:p w:rsidR="005A0670" w:rsidRDefault="00B807E7">
      <w:pPr>
        <w:pStyle w:val="Tekstpodstawowy"/>
        <w:spacing w:after="57"/>
        <w:ind w:left="709"/>
      </w:pPr>
      <w:r>
        <w:lastRenderedPageBreak/>
        <w:t xml:space="preserve">Wpisanie frazy </w:t>
      </w:r>
      <w:r>
        <w:rPr>
          <w:rFonts w:ascii="Times New Roman" w:hAnsi="Times New Roman"/>
          <w:i/>
          <w:iCs/>
        </w:rPr>
        <w:t>...lub odbierania….</w:t>
      </w:r>
      <w:r>
        <w:t xml:space="preserve"> nie ma uzasadnienia, gdyż odbiorca takich komunikatów elektronicznych nie ma wpływu (oprócz całkowitej blokady dostępu do wszystkich komunikatów) na ich odbieranie. Jedynie po rozpoznaniu, mając odpowiednią wiedzę lub doświadczenie, moż</w:t>
      </w:r>
      <w:r>
        <w:t xml:space="preserve">e je zakończyć lub usunąć. W żadnym stopniu nie może odpowiadać za ich rozpowszechnianie, jeżeli ich dalej nie rozsyła, pod warunkiem że ma wiedzę, że są one komunikatami szalbierskimi. </w:t>
      </w:r>
    </w:p>
    <w:p w:rsidR="005A0670" w:rsidRDefault="005A0670">
      <w:pPr>
        <w:pStyle w:val="PKTpunkt"/>
        <w:spacing w:after="57" w:line="276" w:lineRule="auto"/>
        <w:ind w:left="0" w:firstLine="0"/>
        <w:rPr>
          <w:b/>
        </w:rPr>
      </w:pPr>
    </w:p>
    <w:p w:rsidR="005A0670" w:rsidRDefault="00B807E7">
      <w:pPr>
        <w:pStyle w:val="PKTpunkt"/>
        <w:spacing w:after="57" w:line="276" w:lineRule="auto"/>
        <w:ind w:left="0" w:firstLine="0"/>
      </w:pPr>
      <w:r>
        <w:rPr>
          <w:b/>
        </w:rPr>
        <w:t>ad Art.</w:t>
      </w:r>
      <w:r>
        <w:rPr>
          <w:b/>
        </w:rPr>
        <w:t xml:space="preserve"> </w:t>
      </w:r>
      <w:r>
        <w:rPr>
          <w:b/>
        </w:rPr>
        <w:t>3 ust.</w:t>
      </w:r>
      <w:r>
        <w:rPr>
          <w:b/>
        </w:rPr>
        <w:t xml:space="preserve"> 1. pkt</w:t>
      </w:r>
      <w:r>
        <w:rPr>
          <w:b/>
        </w:rPr>
        <w:t xml:space="preserve"> 2) </w:t>
      </w:r>
      <w:r>
        <w:t>wysyłania krótkich wiadomości tekstowych (S</w:t>
      </w:r>
      <w:r>
        <w:t>MS), w których nadawca podszywa się pod inny podmiot w celu nakłonienia odbiorcy tej wiadomości do określonego działania, w szczególności przekazania danych osobowych, nieświadomego rozporządzenia majątkiem, przekierowania na stronę internetową, żądania ko</w:t>
      </w:r>
      <w:r>
        <w:t>ntaktu telefonicznego lub instalacji oprogramowania (smishing);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Propozycja PTI</w:t>
      </w:r>
    </w:p>
    <w:p w:rsidR="005A0670" w:rsidRDefault="00B807E7">
      <w:pPr>
        <w:pStyle w:val="PKTpunkt"/>
        <w:spacing w:after="57" w:line="276" w:lineRule="auto"/>
        <w:ind w:left="709" w:firstLine="0"/>
      </w:pPr>
      <w:r>
        <w:t>W danym przepisie i w całym tekście ustawy</w:t>
      </w:r>
      <w:r>
        <w:t xml:space="preserve"> używanie terminu </w:t>
      </w:r>
      <w:r>
        <w:rPr>
          <w:b/>
        </w:rPr>
        <w:t>esemes</w:t>
      </w:r>
      <w:r>
        <w:t xml:space="preserve"> (zamiast SMS) oraz nazwanie tych komunikatów terminem  </w:t>
      </w:r>
      <w:r>
        <w:rPr>
          <w:b/>
        </w:rPr>
        <w:t>esemesy szalbierskie</w:t>
      </w:r>
      <w:r>
        <w:t>.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Komentarz PTI</w:t>
      </w:r>
    </w:p>
    <w:p w:rsidR="005A0670" w:rsidRDefault="00B807E7">
      <w:pPr>
        <w:pStyle w:val="PKTpunkt"/>
        <w:spacing w:after="57" w:line="276" w:lineRule="auto"/>
        <w:ind w:left="709" w:firstLine="0"/>
      </w:pPr>
      <w:r>
        <w:t>Rozwinięcie jest zawarte w uwadze ogólnej.</w:t>
      </w:r>
    </w:p>
    <w:p w:rsidR="005A0670" w:rsidRDefault="005A0670">
      <w:pPr>
        <w:pStyle w:val="PKTpunkt"/>
        <w:spacing w:after="57" w:line="276" w:lineRule="auto"/>
        <w:ind w:left="0" w:firstLine="0"/>
      </w:pPr>
    </w:p>
    <w:p w:rsidR="005A0670" w:rsidRDefault="00B807E7">
      <w:pPr>
        <w:pStyle w:val="Tekstpodstawowy"/>
        <w:spacing w:after="57"/>
      </w:pPr>
      <w:r>
        <w:rPr>
          <w:b/>
          <w:bCs/>
        </w:rPr>
        <w:t>ad Art.</w:t>
      </w:r>
      <w:r>
        <w:rPr>
          <w:b/>
          <w:bCs/>
        </w:rPr>
        <w:t xml:space="preserve"> </w:t>
      </w:r>
      <w:r>
        <w:rPr>
          <w:b/>
          <w:bCs/>
        </w:rPr>
        <w:t xml:space="preserve">3 </w:t>
      </w:r>
      <w:r>
        <w:rPr>
          <w:b/>
          <w:bCs/>
        </w:rPr>
        <w:t>ust.</w:t>
      </w:r>
      <w:r>
        <w:rPr>
          <w:b/>
          <w:bCs/>
        </w:rPr>
        <w:t xml:space="preserve"> 1 pkt</w:t>
      </w:r>
      <w:r>
        <w:rPr>
          <w:b/>
          <w:bCs/>
        </w:rPr>
        <w:t xml:space="preserve"> 3)</w:t>
      </w:r>
      <w:r>
        <w:t xml:space="preserve"> nieuprawnionego posłużenia się przez użytkownika wywołującego połączenie głosowe informacją adresową wskazującą na osobę lub jednostkę organizacyjną </w:t>
      </w:r>
      <w:r>
        <w:t>inną niż ten użytkownik, służące podszyciu się pod inny podmiot w celu nakłonienia odbiorcy tego połączenia do określonego działania, w szczególności przekazania danych osobowych, nieświadomego rozporządzenia majątkiem lub instalacji oprogramowania (CLI sp</w:t>
      </w:r>
      <w:r>
        <w:t>oofing).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Propozycja PTI</w:t>
      </w:r>
    </w:p>
    <w:p w:rsidR="005A0670" w:rsidRDefault="00B807E7">
      <w:pPr>
        <w:pStyle w:val="PKTpunkt"/>
        <w:spacing w:after="57" w:line="276" w:lineRule="auto"/>
        <w:ind w:left="709" w:firstLine="0"/>
      </w:pPr>
      <w:r>
        <w:t>Wprowadzenie zamiast określenia „(CLI spoofing)”  terminu:</w:t>
      </w:r>
    </w:p>
    <w:p w:rsidR="005A0670" w:rsidRDefault="00B807E7">
      <w:pPr>
        <w:pStyle w:val="PKTpunkt"/>
        <w:spacing w:after="57" w:line="276" w:lineRule="auto"/>
        <w:ind w:left="709" w:firstLine="0"/>
        <w:rPr>
          <w:i/>
        </w:rPr>
      </w:pPr>
      <w:r>
        <w:rPr>
          <w:rFonts w:ascii="Times New Roman" w:hAnsi="Times New Roman" w:cstheme="minorHAnsi"/>
          <w:b/>
          <w:i/>
        </w:rPr>
        <w:t>szalbierczy numer dzwoniącego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Komentarz PTI</w:t>
      </w:r>
    </w:p>
    <w:p w:rsidR="005A0670" w:rsidRDefault="00B807E7">
      <w:pPr>
        <w:pStyle w:val="Tekstpodstawowy"/>
        <w:spacing w:after="57"/>
        <w:ind w:left="709"/>
      </w:pPr>
      <w:r>
        <w:t>Termin CLI spoofing jest mało zrozumiały. Już lepszy byłby termin Caller ID spoofing, gdyby nie był angielski</w:t>
      </w:r>
      <w:r>
        <w:t>, dlatego</w:t>
      </w:r>
      <w:r>
        <w:t xml:space="preserve"> proponujemy używanie terminu - </w:t>
      </w:r>
      <w:r>
        <w:rPr>
          <w:rFonts w:ascii="Times New Roman" w:hAnsi="Times New Roman" w:cstheme="minorHAnsi"/>
          <w:b/>
          <w:bCs/>
        </w:rPr>
        <w:t>szalbierczy numer dzwoniącego</w:t>
      </w:r>
      <w:r>
        <w:rPr>
          <w:rFonts w:ascii="Times New Roman" w:hAnsi="Times New Roman" w:cstheme="minorHAnsi"/>
          <w:b/>
          <w:bCs/>
        </w:rPr>
        <w:t xml:space="preserve">, </w:t>
      </w:r>
      <w:r>
        <w:rPr>
          <w:rFonts w:ascii="Times New Roman" w:hAnsi="Times New Roman" w:cstheme="minorHAnsi"/>
        </w:rPr>
        <w:t>jednoznacznie wskazujący na szkodliwy identyfikator dzwoniącego.</w:t>
      </w:r>
      <w:r>
        <w:rPr>
          <w:rFonts w:ascii="Times New Roman" w:hAnsi="Times New Roman" w:cstheme="minorHAnsi"/>
          <w:b/>
          <w:bCs/>
        </w:rPr>
        <w:t xml:space="preserve"> </w:t>
      </w:r>
      <w:r>
        <w:br/>
      </w:r>
    </w:p>
    <w:p w:rsidR="005A0670" w:rsidRDefault="00B807E7">
      <w:pPr>
        <w:pStyle w:val="Tekstpodstawowy"/>
        <w:spacing w:after="57"/>
      </w:pPr>
      <w:bookmarkStart w:id="2" w:name="move1074846721"/>
      <w:r>
        <w:rPr>
          <w:b/>
        </w:rPr>
        <w:t xml:space="preserve">ad Art. </w:t>
      </w:r>
      <w:bookmarkStart w:id="3" w:name="move107484674"/>
      <w:bookmarkEnd w:id="2"/>
      <w:r>
        <w:rPr>
          <w:b/>
        </w:rPr>
        <w:t>4. ust</w:t>
      </w:r>
      <w:bookmarkEnd w:id="3"/>
      <w:r>
        <w:rPr>
          <w:b/>
        </w:rPr>
        <w:t>. 2.</w:t>
      </w:r>
      <w:r>
        <w:t xml:space="preserve"> CSIRT NASK na podstawie monitorowania, o którym mowa w ust. 1, tworzy wzorzec wiadomości wyczerp</w:t>
      </w:r>
      <w:r>
        <w:t>ującej znamiona smishingu.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Propozycja PTI</w:t>
      </w:r>
    </w:p>
    <w:p w:rsidR="005A0670" w:rsidRDefault="00B807E7">
      <w:pPr>
        <w:pStyle w:val="PKTpunkt"/>
        <w:spacing w:after="57" w:line="276" w:lineRule="auto"/>
        <w:ind w:left="709" w:firstLine="0"/>
      </w:pPr>
      <w:r>
        <w:t>W</w:t>
      </w:r>
      <w:r>
        <w:t xml:space="preserve"> powyższym przepisie na jego końcu</w:t>
      </w:r>
      <w:r>
        <w:t xml:space="preserve">, zamiast słowa ...smishingu… </w:t>
      </w:r>
      <w:r>
        <w:t>:</w:t>
      </w:r>
    </w:p>
    <w:p w:rsidR="005A0670" w:rsidRDefault="00B807E7">
      <w:pPr>
        <w:pStyle w:val="PKTpunkt"/>
        <w:spacing w:after="57" w:line="276" w:lineRule="auto"/>
        <w:ind w:left="709" w:firstLine="0"/>
        <w:rPr>
          <w:i/>
        </w:rPr>
      </w:pPr>
      <w:r>
        <w:rPr>
          <w:i/>
        </w:rPr>
        <w:t xml:space="preserve">szalbierskiego esemsesa  </w:t>
      </w:r>
      <w:r>
        <w:rPr>
          <w:i/>
        </w:rPr>
        <w:t xml:space="preserve">wraz z </w:t>
      </w:r>
      <w:r>
        <w:rPr>
          <w:i/>
        </w:rPr>
        <w:t>podaniem zarzutów go dotyczących.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Komentarz PTI</w:t>
      </w:r>
    </w:p>
    <w:p w:rsidR="005A0670" w:rsidRDefault="00B807E7">
      <w:pPr>
        <w:pStyle w:val="Tekstpodstawowy"/>
        <w:spacing w:after="57"/>
        <w:ind w:left="709"/>
      </w:pPr>
      <w:r>
        <w:rPr>
          <w:color w:val="000000"/>
        </w:rPr>
        <w:t>Uważamy, iż przy każdym zablokowanym rodzaju esemesa powinny być wp</w:t>
      </w:r>
      <w:r>
        <w:rPr>
          <w:color w:val="000000"/>
        </w:rPr>
        <w:t>isane zarzuty jego dotyczące, będące podstawą blokady. Proponowania zmiana jest związana z kolejnym przepisem z art. 5, gdyż umożliwia skuteczny sprzeciw wobec decyzji CSIRT definiującej znamiona</w:t>
      </w:r>
      <w:r w:rsidRPr="00DD018D">
        <w:rPr>
          <w:color w:val="000000"/>
        </w:rPr>
        <w:t xml:space="preserve"> </w:t>
      </w:r>
      <w:r w:rsidRPr="00DD018D">
        <w:rPr>
          <w:color w:val="000000"/>
        </w:rPr>
        <w:t xml:space="preserve"> </w:t>
      </w:r>
      <w:r>
        <w:rPr>
          <w:strike/>
          <w:color w:val="000000"/>
        </w:rPr>
        <w:t>s</w:t>
      </w:r>
      <w:r>
        <w:rPr>
          <w:color w:val="000000"/>
        </w:rPr>
        <w:t>zalbierskiego esemesa</w:t>
      </w:r>
      <w:r w:rsidR="00DD018D">
        <w:rPr>
          <w:color w:val="000000"/>
        </w:rPr>
        <w:t xml:space="preserve"> </w:t>
      </w:r>
      <w:r w:rsidR="00877370">
        <w:rPr>
          <w:color w:val="000000"/>
        </w:rPr>
        <w:t>(</w:t>
      </w:r>
      <w:r w:rsidR="00DD018D" w:rsidRPr="00877370">
        <w:rPr>
          <w:i/>
          <w:color w:val="000000"/>
        </w:rPr>
        <w:t>smishingu</w:t>
      </w:r>
      <w:r w:rsidR="00877370">
        <w:rPr>
          <w:color w:val="000000"/>
        </w:rPr>
        <w:t>)</w:t>
      </w:r>
      <w:r>
        <w:rPr>
          <w:color w:val="000000"/>
        </w:rPr>
        <w:t>.</w:t>
      </w:r>
    </w:p>
    <w:p w:rsidR="005A0670" w:rsidRDefault="005A0670">
      <w:pPr>
        <w:pStyle w:val="Tekstpodstawowy"/>
        <w:spacing w:after="57"/>
        <w:rPr>
          <w:b/>
        </w:rPr>
      </w:pPr>
    </w:p>
    <w:p w:rsidR="005A0670" w:rsidRDefault="00B807E7">
      <w:pPr>
        <w:pStyle w:val="Tekstpodstawowy"/>
        <w:spacing w:after="57"/>
      </w:pPr>
      <w:r>
        <w:rPr>
          <w:b/>
        </w:rPr>
        <w:t>ad Art. 5. ust.</w:t>
      </w:r>
      <w:r w:rsidRPr="00DD018D">
        <w:rPr>
          <w:b/>
        </w:rPr>
        <w:t xml:space="preserve"> 1.</w:t>
      </w:r>
      <w:r>
        <w:t xml:space="preserve"> Nadawca krótkiej wiadomości tekstowej (SMS) może wnieść do Prezesa UKE sprzeciw wobec uznania treści takiej wiadomości za wyczerpującą znamiona smishingu. </w:t>
      </w:r>
      <w:r>
        <w:br/>
      </w:r>
      <w:r>
        <w:rPr>
          <w:b/>
        </w:rPr>
        <w:t xml:space="preserve">ust. </w:t>
      </w:r>
      <w:r w:rsidRPr="00DD018D">
        <w:rPr>
          <w:b/>
        </w:rPr>
        <w:t>2.</w:t>
      </w:r>
      <w:r>
        <w:t xml:space="preserve"> Sprzeciw zawiera: 1) uzasadnienie wyjaśniające dlaczego treść krótkiej wiadomości tekstowej</w:t>
      </w:r>
      <w:r>
        <w:t xml:space="preserve"> (SMS) nie wyczerpuje znamion smishingu;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Komentarz PTI</w:t>
      </w:r>
    </w:p>
    <w:p w:rsidR="005A0670" w:rsidRDefault="00B807E7">
      <w:pPr>
        <w:pStyle w:val="Tekstpodstawowy"/>
        <w:spacing w:after="57"/>
        <w:ind w:left="709"/>
        <w:rPr>
          <w:color w:val="000000"/>
        </w:rPr>
      </w:pPr>
      <w:r>
        <w:rPr>
          <w:color w:val="000000"/>
        </w:rPr>
        <w:t>W przypadku zaakceptowania propozycji PTI powyżej do art. 4 ust. 2 powyższy przepis nie budzi wątpliwości. Jednakże pozostawieni</w:t>
      </w:r>
      <w:r>
        <w:rPr>
          <w:color w:val="000000"/>
        </w:rPr>
        <w:t xml:space="preserve">e takiej treści art. 5.1 i 2 bez proponowanej zmiany PTI w art. 4 ust. 2 spowoduje, iż nie będzie możliwe skuteczne sprzeciwienie się zarzutowi </w:t>
      </w:r>
      <w:r>
        <w:rPr>
          <w:color w:val="000000"/>
        </w:rPr>
        <w:t>szalbierstwa w esemesie (</w:t>
      </w:r>
      <w:r>
        <w:rPr>
          <w:color w:val="000000"/>
        </w:rPr>
        <w:t>smishingu</w:t>
      </w:r>
      <w:r>
        <w:rPr>
          <w:color w:val="000000"/>
        </w:rPr>
        <w:t>)</w:t>
      </w:r>
      <w:r>
        <w:rPr>
          <w:color w:val="000000"/>
        </w:rPr>
        <w:t>, ponieważ nie będą jawne wskazane (nie będą ogłoszone) z</w:t>
      </w:r>
      <w:r>
        <w:rPr>
          <w:color w:val="000000"/>
        </w:rPr>
        <w:t>arzuty</w:t>
      </w:r>
      <w:r>
        <w:rPr>
          <w:color w:val="000000"/>
        </w:rPr>
        <w:t xml:space="preserve"> uzasadniające</w:t>
      </w:r>
      <w:r>
        <w:rPr>
          <w:color w:val="000000"/>
        </w:rPr>
        <w:t xml:space="preserve"> blokadę. Byłoby to sprzeczne z jedną spośród zasad prawodawstwa, iż wymagane może być tylko prawo ogłoszone. </w:t>
      </w:r>
    </w:p>
    <w:p w:rsidR="005A0670" w:rsidRDefault="005A0670">
      <w:pPr>
        <w:pStyle w:val="Tekstpodstawowy"/>
        <w:spacing w:after="57"/>
        <w:ind w:left="709"/>
        <w:rPr>
          <w:color w:val="000000"/>
        </w:rPr>
      </w:pPr>
    </w:p>
    <w:p w:rsidR="005A0670" w:rsidRDefault="00B807E7">
      <w:pPr>
        <w:pStyle w:val="Tekstpodstawowy"/>
        <w:spacing w:after="57"/>
      </w:pPr>
      <w:r>
        <w:rPr>
          <w:b/>
        </w:rPr>
        <w:t>ad Art. 8.</w:t>
      </w:r>
      <w:r>
        <w:t xml:space="preserve"> W celu zapobiegania i zwalczania CLI spoofing przedsiębiorca telekomunikacyjny blokuje połączenie głosowe albo </w:t>
      </w:r>
      <w:r>
        <w:rPr>
          <w:i/>
          <w:u w:val="single"/>
        </w:rPr>
        <w:t>ukrywa identyfikację numeru wywołującego</w:t>
      </w:r>
      <w:r>
        <w:t xml:space="preserve"> dla użytkownika końcowego.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Propozycja PTI</w:t>
      </w:r>
    </w:p>
    <w:p w:rsidR="005A0670" w:rsidRDefault="00B807E7">
      <w:pPr>
        <w:pStyle w:val="PKTpunkt"/>
        <w:spacing w:after="57" w:line="276" w:lineRule="auto"/>
        <w:ind w:left="709" w:firstLine="0"/>
      </w:pPr>
      <w:r>
        <w:t>Zamienić cały powyższy przepis na poniższy:</w:t>
      </w:r>
    </w:p>
    <w:p w:rsidR="005A0670" w:rsidRDefault="00B807E7" w:rsidP="00DD018D">
      <w:pPr>
        <w:pStyle w:val="PKTpunkt"/>
        <w:spacing w:after="57" w:line="276" w:lineRule="auto"/>
        <w:ind w:left="709" w:firstLine="0"/>
        <w:rPr>
          <w:i/>
        </w:rPr>
      </w:pPr>
      <w:r>
        <w:rPr>
          <w:i/>
        </w:rPr>
        <w:t>W celu zapobiegania i zwalczania odbioru połączeń z szal</w:t>
      </w:r>
      <w:r>
        <w:rPr>
          <w:i/>
        </w:rPr>
        <w:t xml:space="preserve">bierczych numerów dzwoniących przedsiębiorca telekomunikacyjny blokuje połączenie głosowe i podaje </w:t>
      </w:r>
      <w:r>
        <w:rPr>
          <w:i/>
          <w:color w:val="000000"/>
        </w:rPr>
        <w:t>informację</w:t>
      </w:r>
      <w:r w:rsidRPr="00DD018D">
        <w:rPr>
          <w:i/>
          <w:color w:val="000000"/>
        </w:rPr>
        <w:t xml:space="preserve"> o zablokowaniu połączenia i jego przyczynie</w:t>
      </w:r>
      <w:r w:rsidRPr="00DD018D">
        <w:rPr>
          <w:i/>
        </w:rPr>
        <w:t>.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Komentarz PTI</w:t>
      </w:r>
    </w:p>
    <w:p w:rsidR="005A0670" w:rsidRDefault="00B807E7">
      <w:pPr>
        <w:pStyle w:val="Tekstpodstawowy"/>
        <w:spacing w:after="57"/>
        <w:ind w:left="709"/>
        <w:rPr>
          <w:color w:val="000000"/>
        </w:rPr>
      </w:pPr>
      <w:r>
        <w:rPr>
          <w:color w:val="000000"/>
        </w:rPr>
        <w:t xml:space="preserve">Ukrycie identyfikacji szalbierczego </w:t>
      </w:r>
      <w:r>
        <w:t xml:space="preserve">numeru wywołującego nie tylko </w:t>
      </w:r>
      <w:r>
        <w:rPr>
          <w:color w:val="000000"/>
        </w:rPr>
        <w:t xml:space="preserve">nie wystarczy, ale </w:t>
      </w:r>
      <w:r>
        <w:rPr>
          <w:color w:val="000000"/>
        </w:rPr>
        <w:t>doprowadzi do skutku przeciwnego niż zamierzony przez regulację – połączenie będzie odbierane bez świadomości szalbierstwa.</w:t>
      </w:r>
    </w:p>
    <w:p w:rsidR="005A0670" w:rsidRDefault="005A0670">
      <w:pPr>
        <w:pStyle w:val="Tekstpodstawowy"/>
        <w:spacing w:after="57"/>
        <w:ind w:left="709"/>
      </w:pPr>
    </w:p>
    <w:p w:rsidR="005A0670" w:rsidRDefault="00B807E7">
      <w:pPr>
        <w:pStyle w:val="ARTartustawynprozporzdzenia"/>
        <w:spacing w:before="0" w:after="57"/>
        <w:rPr>
          <w:rFonts w:eastAsia="Times" w:cs="Times"/>
          <w:szCs w:val="24"/>
        </w:rPr>
      </w:pPr>
      <w:r>
        <w:rPr>
          <w:rFonts w:cs="Times New Roman"/>
          <w:b/>
          <w:szCs w:val="24"/>
        </w:rPr>
        <w:t xml:space="preserve">ad Art. 11. ust. 1. </w:t>
      </w:r>
      <w:r>
        <w:t xml:space="preserve">W celu ochrony użytkowników internetu przed stronami internetowymi wyłudzającymi dane, w tym dane osobowe oraz </w:t>
      </w:r>
      <w:r>
        <w:t xml:space="preserve">doprowadzającymi użytkowników internetu do niekorzystnego rozporządzenia ich majątkiem, może zostać zawarte porozumienie w zakresie prowadzenia i utrzymywania jawnej listy ostrzeżeń dotyczących domen internetowych, które służą do wyłudzeń danych i środków </w:t>
      </w:r>
      <w:r>
        <w:t>finansowych użytkowników internetu oraz uniemożliwienia dostępu do tych stron.</w:t>
      </w:r>
    </w:p>
    <w:p w:rsidR="005A0670" w:rsidRPr="00524CAB" w:rsidRDefault="00B807E7">
      <w:pPr>
        <w:pStyle w:val="Tekstpodstawowy"/>
        <w:spacing w:after="57"/>
        <w:ind w:left="709"/>
        <w:rPr>
          <w:u w:val="single"/>
        </w:rPr>
      </w:pPr>
      <w:r w:rsidRPr="00524CAB">
        <w:rPr>
          <w:u w:val="single"/>
        </w:rPr>
        <w:t>Propozycja PTI zmiany treści zapisu:</w:t>
      </w:r>
    </w:p>
    <w:p w:rsidR="005A0670" w:rsidRDefault="00B807E7" w:rsidP="00524CAB">
      <w:pPr>
        <w:pStyle w:val="ARTartustawynprozporzdzenia"/>
        <w:spacing w:before="0" w:after="57"/>
        <w:ind w:left="709" w:firstLine="0"/>
      </w:pPr>
      <w:r>
        <w:rPr>
          <w:i/>
          <w:iCs/>
        </w:rPr>
        <w:t>W celu ochrony użytkowników internetu przed szalbierczymi stronami internetowymi wyłudzającymi dane, w tym dane osobowe oraz doprowadzającym</w:t>
      </w:r>
      <w:r>
        <w:rPr>
          <w:i/>
          <w:iCs/>
        </w:rPr>
        <w:t>i użytkowników internetu do niekorzystnego rozporządzenia ich majątkiem, może zostać zawarte porozumienie w zakresie prowadzenia i utrzymywania jawnej listy ostrzeżeń dotyczących szalbierczych stron internetowych oraz uniemożliwienia do nich dostępu.</w:t>
      </w:r>
    </w:p>
    <w:p w:rsidR="005A0670" w:rsidRPr="00524CAB" w:rsidRDefault="00B807E7">
      <w:pPr>
        <w:pStyle w:val="Tekstpodstawowy"/>
        <w:spacing w:after="57"/>
        <w:ind w:left="709"/>
        <w:rPr>
          <w:u w:val="single"/>
        </w:rPr>
      </w:pPr>
      <w:r w:rsidRPr="00524CAB">
        <w:rPr>
          <w:u w:val="single"/>
        </w:rPr>
        <w:t>Komen</w:t>
      </w:r>
      <w:r w:rsidRPr="00524CAB">
        <w:rPr>
          <w:u w:val="single"/>
        </w:rPr>
        <w:t>tarz PTI</w:t>
      </w:r>
    </w:p>
    <w:p w:rsidR="005A0670" w:rsidRDefault="00B807E7">
      <w:pPr>
        <w:pStyle w:val="Tekstpodstawowy"/>
        <w:spacing w:after="57"/>
        <w:ind w:left="709"/>
      </w:pPr>
      <w:r>
        <w:t xml:space="preserve">Takimi szalbierczymi stronami mogą być tylko niektóre strony z danej domeny. Wobec tego blokowanie całej domeny jest działaniem nadmiarowym – należy się ograniczyć tylko do blokowania stron. </w:t>
      </w:r>
    </w:p>
    <w:p w:rsidR="005A0670" w:rsidRDefault="005A0670">
      <w:pPr>
        <w:pStyle w:val="Tekstpodstawowy"/>
        <w:spacing w:after="57"/>
      </w:pPr>
    </w:p>
    <w:p w:rsidR="005A0670" w:rsidRDefault="00B807E7">
      <w:pPr>
        <w:pStyle w:val="Tekstpodstawowy"/>
        <w:spacing w:after="57"/>
      </w:pPr>
      <w:r>
        <w:rPr>
          <w:b/>
        </w:rPr>
        <w:t>ad Art. 11. ust.</w:t>
      </w:r>
      <w:r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</w:rPr>
        <w:t>W celu ochrony użytkowników interne</w:t>
      </w:r>
      <w:r>
        <w:rPr>
          <w:rFonts w:ascii="Times New Roman" w:eastAsia="Times New Roman" w:hAnsi="Times New Roman" w:cs="Times New Roman"/>
        </w:rPr>
        <w:t xml:space="preserve">tu przed CLI spoofing, </w:t>
      </w:r>
      <w:r>
        <w:rPr>
          <w:rFonts w:eastAsia="Times"/>
        </w:rPr>
        <w:t>elementem porozumienia, o którym mowa w ust. 1, może być jawna lista ostrzeżeń dotyczących domen internetowych, które służą do nieuprawnionego wykorzystania numeru lub identyfikatora użytkownika wywołującego połączenie głosowe oraz u</w:t>
      </w:r>
      <w:r>
        <w:rPr>
          <w:rFonts w:eastAsia="Times"/>
        </w:rPr>
        <w:t>niemożliwienia dostępu do tych stron.</w:t>
      </w:r>
    </w:p>
    <w:p w:rsidR="005A0670" w:rsidRPr="00524CAB" w:rsidRDefault="00B807E7">
      <w:pPr>
        <w:pStyle w:val="Tekstpodstawowy"/>
        <w:spacing w:after="57"/>
        <w:ind w:left="709"/>
        <w:rPr>
          <w:u w:val="single"/>
        </w:rPr>
      </w:pPr>
      <w:r w:rsidRPr="00524CAB">
        <w:rPr>
          <w:u w:val="single"/>
        </w:rPr>
        <w:t>Komentarz PTI</w:t>
      </w:r>
    </w:p>
    <w:p w:rsidR="005A0670" w:rsidRDefault="00B807E7">
      <w:pPr>
        <w:pStyle w:val="Tekstpodstawowy"/>
        <w:spacing w:after="57"/>
        <w:ind w:left="709"/>
        <w:rPr>
          <w:color w:val="000000"/>
        </w:rPr>
      </w:pPr>
      <w:r>
        <w:t>Ten ustęp jest zbędny, gdyż CLI spoofing dotyczy połączeń głosowych a nie stron internetowych, chyba że chodzi tutaj o strony internetowe, które służą podmianie lub ukryciu prawdziwego numeru dzwoniącego</w:t>
      </w:r>
      <w:r>
        <w:t xml:space="preserve">. W tym przypadku można je po prostu uznać za strony szalbiercze i potraktować jak te z ust.1. </w:t>
      </w:r>
      <w:r>
        <w:rPr>
          <w:color w:val="000000"/>
        </w:rPr>
        <w:t>Ale też przy istnieniu VPN uniemożliwianie dostępu do tych stron może być mało skuteczne.</w:t>
      </w:r>
    </w:p>
    <w:p w:rsidR="00877370" w:rsidRDefault="00877370">
      <w:pPr>
        <w:pStyle w:val="Tekstpodstawowy"/>
        <w:spacing w:after="57"/>
        <w:ind w:left="709"/>
      </w:pPr>
    </w:p>
    <w:p w:rsidR="005A0670" w:rsidRDefault="00B807E7">
      <w:pPr>
        <w:pStyle w:val="Tekstpodstawowy"/>
        <w:spacing w:after="57"/>
        <w:rPr>
          <w:b/>
        </w:rPr>
      </w:pPr>
      <w:r>
        <w:rPr>
          <w:b/>
        </w:rPr>
        <w:t>ad Art. 11 ust 3. , 4., 5.</w:t>
      </w:r>
      <w:r w:rsidR="00877370">
        <w:rPr>
          <w:b/>
        </w:rPr>
        <w:t>,</w:t>
      </w:r>
      <w:r>
        <w:rPr>
          <w:b/>
        </w:rPr>
        <w:t xml:space="preserve"> 6. </w:t>
      </w:r>
    </w:p>
    <w:p w:rsidR="002C72CC" w:rsidRPr="00524CAB" w:rsidRDefault="002C72CC" w:rsidP="002C72CC">
      <w:pPr>
        <w:pStyle w:val="Tekstpodstawowy"/>
        <w:spacing w:after="57"/>
        <w:ind w:left="709"/>
        <w:rPr>
          <w:u w:val="single"/>
        </w:rPr>
      </w:pPr>
      <w:r w:rsidRPr="00524CAB">
        <w:rPr>
          <w:u w:val="single"/>
        </w:rPr>
        <w:t>Propozycja PTI zmiany treści zapisu:</w:t>
      </w:r>
    </w:p>
    <w:p w:rsidR="005A0670" w:rsidRDefault="00B807E7">
      <w:pPr>
        <w:pStyle w:val="Tekstpodstawowy"/>
        <w:spacing w:after="57"/>
      </w:pPr>
      <w:r>
        <w:rPr>
          <w:b/>
        </w:rPr>
        <w:tab/>
      </w:r>
      <w:r>
        <w:t>W tych ustępach należy wpisać  strony i</w:t>
      </w:r>
      <w:r>
        <w:t>nternetowe, a nie domeny internetowe.</w:t>
      </w:r>
    </w:p>
    <w:p w:rsidR="005A0670" w:rsidRDefault="005A0670">
      <w:pPr>
        <w:pStyle w:val="Tekstpodstawowy"/>
        <w:spacing w:after="57"/>
        <w:rPr>
          <w:b/>
        </w:rPr>
      </w:pPr>
    </w:p>
    <w:p w:rsidR="005A0670" w:rsidRDefault="00B807E7">
      <w:pPr>
        <w:pStyle w:val="Tekstpodstawowy"/>
        <w:spacing w:after="57"/>
      </w:pPr>
      <w:r>
        <w:rPr>
          <w:b/>
        </w:rPr>
        <w:t xml:space="preserve">ad Art. ust.5  </w:t>
      </w:r>
      <w:r>
        <w:t>Porozumienie określa co najmniej zasady współpracy między stronami, w tym zasady zgłaszania domen internetowych, wpisania oraz usuwania ich z listy ostrzeżeń, o której mowa w ust. 1.</w:t>
      </w:r>
    </w:p>
    <w:p w:rsidR="002C72CC" w:rsidRPr="00524CAB" w:rsidRDefault="002C72CC" w:rsidP="002C72CC">
      <w:pPr>
        <w:pStyle w:val="Tekstpodstawowy"/>
        <w:spacing w:after="57"/>
        <w:ind w:left="709"/>
        <w:rPr>
          <w:u w:val="single"/>
        </w:rPr>
      </w:pPr>
      <w:r w:rsidRPr="00524CAB">
        <w:rPr>
          <w:u w:val="single"/>
        </w:rPr>
        <w:t>Propozycja PTI zmiany treści zapisu</w:t>
      </w:r>
      <w:r w:rsidRPr="00524CAB">
        <w:rPr>
          <w:u w:val="single"/>
        </w:rPr>
        <w:t xml:space="preserve"> – należy go zmodyfikować jak poniżej</w:t>
      </w:r>
      <w:r w:rsidRPr="00524CAB">
        <w:rPr>
          <w:u w:val="single"/>
        </w:rPr>
        <w:t>:</w:t>
      </w:r>
    </w:p>
    <w:p w:rsidR="005A0670" w:rsidRDefault="00B807E7">
      <w:pPr>
        <w:pStyle w:val="Tekstpodstawowy"/>
        <w:spacing w:after="57"/>
        <w:ind w:left="709"/>
        <w:rPr>
          <w:i/>
          <w:iCs/>
        </w:rPr>
      </w:pPr>
      <w:r>
        <w:rPr>
          <w:i/>
          <w:iCs/>
        </w:rPr>
        <w:t>Porozumienie określa co najmniej zasady współpracy między stronami, w tym zasady i podstawy zgłaszania,  wpisania, blokowania oraz zwalniania stron internetowych z listy ostrzeżeń, o której mowa w ust. 1.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Komentarz PTI</w:t>
      </w:r>
    </w:p>
    <w:p w:rsidR="005A0670" w:rsidRDefault="00B807E7">
      <w:pPr>
        <w:pStyle w:val="Tekstpodstawowy"/>
        <w:spacing w:after="57"/>
        <w:ind w:left="709"/>
        <w:rPr>
          <w:color w:val="000000"/>
        </w:rPr>
      </w:pPr>
      <w:r>
        <w:rPr>
          <w:color w:val="000000"/>
        </w:rPr>
        <w:t>Uważamy, iż przyczyny pow</w:t>
      </w:r>
      <w:r>
        <w:rPr>
          <w:color w:val="000000"/>
        </w:rPr>
        <w:t xml:space="preserve">odujące </w:t>
      </w:r>
      <w:r>
        <w:rPr>
          <w:color w:val="000000"/>
        </w:rPr>
        <w:t xml:space="preserve">zgłoszenie </w:t>
      </w:r>
      <w:r>
        <w:rPr>
          <w:color w:val="000000"/>
        </w:rPr>
        <w:t xml:space="preserve">muszą być jawne, gdyż łączne z proponowaną zmianą w ust. 6 art. 11 nie spowoduje to dezorientacji użytkownika  w sytuacji odmowy świadczenia usługi dostępu do konkretnej </w:t>
      </w:r>
      <w:r>
        <w:rPr>
          <w:color w:val="000000"/>
        </w:rPr>
        <w:t>strony</w:t>
      </w:r>
      <w:r>
        <w:rPr>
          <w:color w:val="000000"/>
        </w:rPr>
        <w:t xml:space="preserve">. Ponadto proponowane uzupełnienie zapobiegnie arbitralnemu </w:t>
      </w:r>
      <w:r>
        <w:rPr>
          <w:color w:val="000000"/>
        </w:rPr>
        <w:t>blokowaniu dostępu do stron internetowych.</w:t>
      </w:r>
    </w:p>
    <w:p w:rsidR="005A0670" w:rsidRDefault="005A0670" w:rsidP="00DD018D">
      <w:pPr>
        <w:pStyle w:val="Tekstpodstawowy"/>
        <w:spacing w:after="57"/>
        <w:rPr>
          <w:b/>
          <w:color w:val="000000"/>
        </w:rPr>
      </w:pPr>
    </w:p>
    <w:p w:rsidR="005A0670" w:rsidRDefault="00B807E7">
      <w:pPr>
        <w:pStyle w:val="Tekstpodstawowy"/>
        <w:spacing w:after="57"/>
      </w:pPr>
      <w:bookmarkStart w:id="4" w:name="move1074846761"/>
      <w:r>
        <w:rPr>
          <w:b/>
          <w:color w:val="000000"/>
        </w:rPr>
        <w:t xml:space="preserve">ad </w:t>
      </w:r>
      <w:bookmarkEnd w:id="4"/>
      <w:r>
        <w:rPr>
          <w:b/>
          <w:bCs/>
          <w:color w:val="000000"/>
        </w:rPr>
        <w:t xml:space="preserve">Art. 11 ust. 6. </w:t>
      </w:r>
      <w:r>
        <w:rPr>
          <w:bCs/>
          <w:color w:val="000000"/>
        </w:rPr>
        <w:t>Przedsiębiorca telekomunikacyjny może uniemożliwić użytkownikom internetu dostęp do stron internetowych wpisanych na listę, o której mowa w ust. 1.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Propozycja PTI</w:t>
      </w:r>
    </w:p>
    <w:p w:rsidR="005A0670" w:rsidRDefault="00B807E7">
      <w:pPr>
        <w:pStyle w:val="PKTpunkt"/>
        <w:spacing w:after="57" w:line="276" w:lineRule="auto"/>
        <w:ind w:left="709" w:firstLine="0"/>
      </w:pPr>
      <w:r>
        <w:t>Należy dodać przed końcową kr</w:t>
      </w:r>
      <w:r>
        <w:t>opką poniższy fragment:</w:t>
      </w:r>
    </w:p>
    <w:p w:rsidR="005A0670" w:rsidRDefault="00B807E7">
      <w:pPr>
        <w:pStyle w:val="PKTpunkt"/>
        <w:spacing w:after="57" w:line="276" w:lineRule="auto"/>
        <w:ind w:left="709" w:firstLine="0"/>
        <w:rPr>
          <w:i/>
        </w:rPr>
      </w:pPr>
      <w:r>
        <w:rPr>
          <w:i/>
        </w:rPr>
        <w:t>, wraz z podaniem przyczyny blokady</w:t>
      </w:r>
      <w:r>
        <w:rPr>
          <w:i/>
        </w:rPr>
        <w:t>.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Komentarz PTI</w:t>
      </w:r>
    </w:p>
    <w:p w:rsidR="005A0670" w:rsidRDefault="00B807E7">
      <w:pPr>
        <w:pStyle w:val="Tekstpodstawowy"/>
        <w:spacing w:after="57"/>
        <w:ind w:left="709"/>
      </w:pPr>
      <w:r>
        <w:rPr>
          <w:color w:val="000000"/>
        </w:rPr>
        <w:t>W związku w danym przepisem w przypadku zaakceptowania propozycji PTI powyżej do</w:t>
      </w:r>
      <w:r>
        <w:rPr>
          <w:color w:val="000000"/>
        </w:rPr>
        <w:t xml:space="preserve"> art. </w:t>
      </w:r>
      <w:r>
        <w:rPr>
          <w:color w:val="000000"/>
        </w:rPr>
        <w:t xml:space="preserve">11 ust. 1 powyższy przepis </w:t>
      </w:r>
      <w:r>
        <w:rPr>
          <w:color w:val="000000"/>
        </w:rPr>
        <w:t>nie spowoduje dezorientacji użytkownika końcowego, gdyż odmowa świadczenia usługi (blokada) będzie umotywowana prawnie, ale nie technicznie, np. w postaci kodów błędów protokołu http</w:t>
      </w:r>
    </w:p>
    <w:p w:rsidR="005A0670" w:rsidRDefault="00B807E7">
      <w:pPr>
        <w:pStyle w:val="Tekstpodstawowy"/>
        <w:spacing w:after="57"/>
      </w:pPr>
      <w:r>
        <w:br/>
      </w:r>
      <w:r>
        <w:rPr>
          <w:b/>
        </w:rPr>
        <w:t>ad Art. 12.</w:t>
      </w:r>
      <w:r>
        <w:rPr>
          <w:b/>
        </w:rPr>
        <w:t xml:space="preserve"> </w:t>
      </w:r>
      <w:r>
        <w:rPr>
          <w:b/>
        </w:rPr>
        <w:t>u</w:t>
      </w:r>
      <w:r>
        <w:rPr>
          <w:b/>
        </w:rPr>
        <w:t>st.</w:t>
      </w:r>
      <w:r>
        <w:rPr>
          <w:b/>
        </w:rPr>
        <w:t xml:space="preserve"> </w:t>
      </w:r>
      <w:r w:rsidRPr="00DD018D">
        <w:rPr>
          <w:b/>
        </w:rPr>
        <w:t>1.</w:t>
      </w:r>
      <w:r>
        <w:t xml:space="preserve"> Dostawca poczty elektronicznej:</w:t>
      </w:r>
    </w:p>
    <w:p w:rsidR="005A0670" w:rsidRDefault="00B807E7">
      <w:pPr>
        <w:pStyle w:val="PKTpunkt"/>
        <w:spacing w:after="57" w:line="276" w:lineRule="auto"/>
      </w:pPr>
      <w:r>
        <w:t>1)</w:t>
      </w:r>
      <w:r>
        <w:tab/>
        <w:t>dla co najmniej 5</w:t>
      </w:r>
      <w:r>
        <w:t xml:space="preserve">00 000 użytkowników, </w:t>
      </w:r>
    </w:p>
    <w:p w:rsidR="005A0670" w:rsidRDefault="00B807E7">
      <w:pPr>
        <w:pStyle w:val="PKTpunkt"/>
        <w:spacing w:after="57" w:line="276" w:lineRule="auto"/>
      </w:pPr>
      <w:r>
        <w:t>2)</w:t>
      </w:r>
      <w:r>
        <w:tab/>
        <w:t>dla podmiotu publicznego, lub</w:t>
      </w:r>
    </w:p>
    <w:p w:rsidR="005A0670" w:rsidRDefault="00B807E7">
      <w:pPr>
        <w:pStyle w:val="PKTpunkt"/>
        <w:spacing w:after="57" w:line="276" w:lineRule="auto"/>
      </w:pPr>
      <w:r>
        <w:t>3)</w:t>
      </w:r>
      <w:r>
        <w:tab/>
        <w:t xml:space="preserve">obsługujący co najmniej 500 000 aktywnych kont pocztowych </w:t>
      </w:r>
    </w:p>
    <w:p w:rsidR="005A0670" w:rsidRDefault="00B807E7">
      <w:pPr>
        <w:pStyle w:val="Tekstpodstawowy"/>
        <w:spacing w:after="57"/>
      </w:pPr>
      <w:r>
        <w:rPr>
          <w:lang w:val="en-GB"/>
        </w:rPr>
        <w:t>– ma obowiązek stosowania mechanizmu SPF (Sender Policy Framework), DMARC (Domain-based Message Authentication Reporting and Conformance) o</w:t>
      </w:r>
      <w:r>
        <w:rPr>
          <w:lang w:val="en-GB"/>
        </w:rPr>
        <w:t>raz DKIM (DomainKeys Identified Mail).</w:t>
      </w:r>
    </w:p>
    <w:p w:rsidR="005A0670" w:rsidRDefault="00B807E7">
      <w:pPr>
        <w:pStyle w:val="PKTpunkt"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Propozycja PTI</w:t>
      </w:r>
    </w:p>
    <w:p w:rsidR="005A0670" w:rsidRDefault="00B807E7">
      <w:pPr>
        <w:pStyle w:val="PKTpunkt"/>
        <w:spacing w:after="57" w:line="276" w:lineRule="auto"/>
        <w:ind w:left="709" w:firstLine="0"/>
      </w:pPr>
      <w:r>
        <w:t xml:space="preserve">Zmodyfikować zapis powyższego ustępu na poniższy (opis modyfikacji w komentarzu): </w:t>
      </w:r>
    </w:p>
    <w:p w:rsidR="005A0670" w:rsidRDefault="00B807E7">
      <w:pPr>
        <w:pStyle w:val="Tekstpodstawowy"/>
        <w:spacing w:after="57"/>
        <w:ind w:left="709"/>
        <w:rPr>
          <w:i/>
        </w:rPr>
      </w:pPr>
      <w:r>
        <w:rPr>
          <w:i/>
        </w:rPr>
        <w:t>Dostawca poczty elektronicznej:</w:t>
      </w:r>
    </w:p>
    <w:p w:rsidR="005A0670" w:rsidRDefault="00B807E7">
      <w:pPr>
        <w:pStyle w:val="PKTpunkt"/>
        <w:spacing w:after="57" w:line="276" w:lineRule="auto"/>
        <w:ind w:left="1134" w:hanging="368"/>
        <w:rPr>
          <w:i/>
        </w:rPr>
      </w:pPr>
      <w:r>
        <w:rPr>
          <w:i/>
        </w:rPr>
        <w:t>1)</w:t>
      </w:r>
      <w:r>
        <w:rPr>
          <w:i/>
        </w:rPr>
        <w:tab/>
        <w:t xml:space="preserve">dla co najmniej 500 000 użytkowników, </w:t>
      </w:r>
    </w:p>
    <w:p w:rsidR="005A0670" w:rsidRDefault="00B807E7">
      <w:pPr>
        <w:pStyle w:val="PKTpunkt"/>
        <w:spacing w:after="57" w:line="276" w:lineRule="auto"/>
        <w:ind w:left="1134" w:hanging="368"/>
        <w:rPr>
          <w:i/>
        </w:rPr>
      </w:pPr>
      <w:r>
        <w:rPr>
          <w:i/>
        </w:rPr>
        <w:t>2)</w:t>
      </w:r>
      <w:r>
        <w:rPr>
          <w:i/>
        </w:rPr>
        <w:tab/>
        <w:t>dla podmiotu publicznego, lub</w:t>
      </w:r>
    </w:p>
    <w:p w:rsidR="005A0670" w:rsidRDefault="00B807E7">
      <w:pPr>
        <w:pStyle w:val="PKTpunkt"/>
        <w:spacing w:after="57" w:line="276" w:lineRule="auto"/>
        <w:ind w:left="1134" w:hanging="368"/>
        <w:rPr>
          <w:i/>
        </w:rPr>
      </w:pPr>
      <w:r>
        <w:rPr>
          <w:i/>
        </w:rPr>
        <w:t>3)</w:t>
      </w:r>
      <w:r>
        <w:rPr>
          <w:i/>
        </w:rPr>
        <w:tab/>
      </w:r>
      <w:r>
        <w:rPr>
          <w:i/>
        </w:rPr>
        <w:t xml:space="preserve">obsługujący co najmniej 500 000 zarejestrowanych kont pocztowych </w:t>
      </w:r>
    </w:p>
    <w:p w:rsidR="005A0670" w:rsidRDefault="00B807E7">
      <w:pPr>
        <w:pStyle w:val="Tekstpodstawowy"/>
        <w:spacing w:after="57"/>
        <w:ind w:left="709"/>
        <w:rPr>
          <w:i/>
        </w:rPr>
      </w:pPr>
      <w:r>
        <w:rPr>
          <w:i/>
          <w:lang w:val="en-GB"/>
        </w:rPr>
        <w:t>–</w:t>
      </w:r>
      <w:r w:rsidRPr="00DD018D">
        <w:rPr>
          <w:i/>
          <w:lang w:val="en-GB"/>
        </w:rPr>
        <w:t xml:space="preserve"> jest </w:t>
      </w:r>
      <w:r>
        <w:rPr>
          <w:i/>
          <w:lang w:val="en-GB"/>
        </w:rPr>
        <w:t>zobowiązany do wyboru i do stosowania jednego</w:t>
      </w:r>
      <w:r w:rsidR="0053453F">
        <w:rPr>
          <w:i/>
          <w:lang w:val="en-GB"/>
        </w:rPr>
        <w:t xml:space="preserve"> lub wielu</w:t>
      </w:r>
      <w:r>
        <w:rPr>
          <w:i/>
          <w:lang w:val="en-GB"/>
        </w:rPr>
        <w:t xml:space="preserve"> ze znanych mechanizmów potwierdzania wiarygodności  podanego nadawcy mejla</w:t>
      </w:r>
      <w:r w:rsidR="0053453F">
        <w:rPr>
          <w:i/>
          <w:lang w:val="en-GB"/>
        </w:rPr>
        <w:t>,</w:t>
      </w:r>
      <w:r w:rsidR="00524CAB">
        <w:rPr>
          <w:i/>
          <w:lang w:val="en-GB"/>
        </w:rPr>
        <w:t xml:space="preserve"> w szczególności takich jak</w:t>
      </w:r>
      <w:r w:rsidR="0053453F">
        <w:rPr>
          <w:i/>
          <w:lang w:val="en-GB"/>
        </w:rPr>
        <w:t xml:space="preserve"> </w:t>
      </w:r>
      <w:r w:rsidR="0053453F" w:rsidRPr="0053453F">
        <w:rPr>
          <w:i/>
          <w:lang w:val="en-GB"/>
        </w:rPr>
        <w:t>SPF (Sender Policy Framework), DMARC (Domain-based Message Authentication Reporting and Conformance)</w:t>
      </w:r>
      <w:r w:rsidR="0053453F">
        <w:rPr>
          <w:i/>
          <w:lang w:val="en-GB"/>
        </w:rPr>
        <w:t xml:space="preserve">, </w:t>
      </w:r>
      <w:r w:rsidR="0053453F" w:rsidRPr="0053453F">
        <w:rPr>
          <w:i/>
          <w:lang w:val="en-GB"/>
        </w:rPr>
        <w:t>DKIM (DomainKeys Identified Mail).</w:t>
      </w:r>
    </w:p>
    <w:p w:rsidR="005A0670" w:rsidRDefault="00B807E7">
      <w:pPr>
        <w:pStyle w:val="PKTpunkt"/>
        <w:keepNext/>
        <w:keepLines/>
        <w:spacing w:after="57" w:line="276" w:lineRule="auto"/>
        <w:ind w:left="709" w:firstLine="0"/>
        <w:rPr>
          <w:u w:val="single"/>
        </w:rPr>
      </w:pPr>
      <w:r>
        <w:rPr>
          <w:u w:val="single"/>
        </w:rPr>
        <w:t>Komentarz PTI</w:t>
      </w:r>
    </w:p>
    <w:p w:rsidR="005A0670" w:rsidRDefault="00B807E7" w:rsidP="00DD018D">
      <w:pPr>
        <w:pStyle w:val="Tekstpodstawowy"/>
        <w:keepNext/>
        <w:keepLines/>
        <w:spacing w:after="57"/>
        <w:ind w:left="709"/>
      </w:pPr>
      <w:r>
        <w:t>Nie jest znana definicja, czym jest</w:t>
      </w:r>
      <w:r>
        <w:t xml:space="preserve"> ak</w:t>
      </w:r>
      <w:r>
        <w:t>tywne konto pocztowe</w:t>
      </w:r>
      <w:r>
        <w:t>. Wiele zarejestrowanych</w:t>
      </w:r>
      <w:r>
        <w:t xml:space="preserve"> kont może być latami nieaktywnych, ale być dla </w:t>
      </w:r>
      <w:r>
        <w:t>ich</w:t>
      </w:r>
      <w:r>
        <w:t xml:space="preserve"> właściciela użytecznymi. Jedynym kryterium dla obsługującego konta jest opłacenie lub spełnianie określonych wym</w:t>
      </w:r>
      <w:r>
        <w:t xml:space="preserve">agań. </w:t>
      </w:r>
      <w:r>
        <w:t>W związku z tym w propozycji zastąpiono określenie „aktywnych” na określenie „zarejestrowanych”.</w:t>
      </w:r>
    </w:p>
    <w:p w:rsidR="005A0670" w:rsidRDefault="0053453F">
      <w:pPr>
        <w:pStyle w:val="Tekstpodstawowy"/>
        <w:spacing w:after="57"/>
        <w:ind w:left="709"/>
      </w:pPr>
      <w:bookmarkStart w:id="5" w:name="move107484677211"/>
      <w:bookmarkEnd w:id="5"/>
      <w:r>
        <w:t xml:space="preserve">W propozycji </w:t>
      </w:r>
      <w:r w:rsidR="000E5C44">
        <w:t xml:space="preserve">PTI </w:t>
      </w:r>
      <w:r>
        <w:t>nie ma w</w:t>
      </w:r>
      <w:r w:rsidR="00B807E7">
        <w:t>ymusz</w:t>
      </w:r>
      <w:r>
        <w:t>ania</w:t>
      </w:r>
      <w:r w:rsidR="00B807E7">
        <w:t xml:space="preserve"> stosowania wymienionych mechanizmów (wszystkich lub </w:t>
      </w:r>
      <w:r w:rsidR="00B807E7">
        <w:t>jednego</w:t>
      </w:r>
      <w:r w:rsidR="00B807E7">
        <w:t xml:space="preserve"> z nich</w:t>
      </w:r>
      <w:r w:rsidR="000E5C44">
        <w:t xml:space="preserve">, jak </w:t>
      </w:r>
      <w:r w:rsidR="00B807E7">
        <w:t>SPF</w:t>
      </w:r>
      <w:r w:rsidR="000E5C44">
        <w:t xml:space="preserve">, </w:t>
      </w:r>
      <w:r w:rsidR="00B807E7">
        <w:t>DMARC</w:t>
      </w:r>
      <w:r w:rsidR="00B807E7">
        <w:t>,</w:t>
      </w:r>
      <w:r w:rsidR="000E5C44">
        <w:t xml:space="preserve"> </w:t>
      </w:r>
      <w:r w:rsidR="00B807E7">
        <w:t>DKIM</w:t>
      </w:r>
      <w:r w:rsidR="000E5C44">
        <w:t xml:space="preserve">), </w:t>
      </w:r>
      <w:bookmarkStart w:id="6" w:name="_GoBack"/>
      <w:bookmarkEnd w:id="6"/>
      <w:r w:rsidR="00B807E7">
        <w:t>gdyż istnieją jeszcze inne metody (ADSP,</w:t>
      </w:r>
      <w:r w:rsidR="00B807E7">
        <w:t xml:space="preserve"> </w:t>
      </w:r>
      <w:r w:rsidR="00B807E7">
        <w:t xml:space="preserve">VBR, iprev, DNSWL). </w:t>
      </w:r>
      <w:r w:rsidR="00B807E7">
        <w:t>W związku z tym modyfikacja ogranicza się do tego, iż</w:t>
      </w:r>
      <w:r w:rsidR="00B807E7">
        <w:t xml:space="preserve"> dostawcy mają wyszukiwać i stosować jeden z wybranych (najle</w:t>
      </w:r>
      <w:r w:rsidR="00B807E7">
        <w:t>pszych) mechanizmów potwierdzania wiarygodności  prawdziwości podanego nadawcy mejla.</w:t>
      </w:r>
    </w:p>
    <w:p w:rsidR="005A0670" w:rsidRDefault="00B807E7">
      <w:pPr>
        <w:pStyle w:val="Tekstpodstawowy"/>
        <w:spacing w:after="57"/>
        <w:ind w:left="709"/>
      </w:pPr>
      <w:r>
        <w:t xml:space="preserve">Natomiast obie redakcje budzą trzy wątpliwości. </w:t>
      </w:r>
    </w:p>
    <w:p w:rsidR="005A0670" w:rsidRDefault="00B807E7">
      <w:pPr>
        <w:pStyle w:val="Tekstpodstawowy"/>
        <w:spacing w:after="57"/>
        <w:ind w:left="709"/>
      </w:pPr>
      <w:r>
        <w:t xml:space="preserve">Po pierwsze dlaczego pomija się mniejszych dostawców usług poczty elektronicznej oraz dostawców zagranicznych, </w:t>
      </w:r>
      <w:r>
        <w:t>często szczególnie nadużywających, nawet w celach przestępczych komunikacji elektronicznej. Wydaje się, że konieczne jest określenie możliwych do realizacji sankcji wobec takich przypadków.</w:t>
      </w:r>
      <w:bookmarkStart w:id="7" w:name="move1074846771"/>
      <w:bookmarkEnd w:id="7"/>
    </w:p>
    <w:p w:rsidR="005A0670" w:rsidRDefault="00B807E7">
      <w:pPr>
        <w:pStyle w:val="Tekstpodstawowy"/>
        <w:spacing w:after="57"/>
        <w:ind w:left="709"/>
      </w:pPr>
      <w:r>
        <w:t>Po drugie nie jest jasna intencja twórców propozycji jakie warunki</w:t>
      </w:r>
      <w:r>
        <w:t xml:space="preserve"> 1), 2), 3) ma spełnić dostawca – czy łącznie 1) i 2) lub 3), czy dowolny z tych trzech? Jeśli łącznie 1) i 2), to bardziej klarownym byłoby połączenie 1) i 2). Aczkolwiek to by wyłączyło obsługę podmiotów publicznych z mniej niż 500 tys. użytkowników, co </w:t>
      </w:r>
      <w:r>
        <w:t>jest z pewnością wbrew intencjom autorów propozycji, gdyż prawdopodobnie w skali kraju może nie być ani jednego podmiotu publicznego z taką liczbą użytkowników. Proponujemy więc z wyliczenia usunąć spójnik „lub”, a przed dwukropkiem dodać „spełniający co n</w:t>
      </w:r>
      <w:r>
        <w:t>ajmniej jeden z poniższych warunków”.</w:t>
      </w:r>
    </w:p>
    <w:p w:rsidR="005A0670" w:rsidRDefault="00B807E7">
      <w:pPr>
        <w:pStyle w:val="Tekstpodstawowy"/>
        <w:spacing w:after="57"/>
        <w:ind w:left="709"/>
      </w:pPr>
      <w:r>
        <w:t>Po trzecie brak jest uzasadnienia dla liczby 500 tysięcy użytkowników/kont. Powinno się ono znaleźć co najmniej w dokumencie OSR.</w:t>
      </w:r>
    </w:p>
    <w:p w:rsidR="005A0670" w:rsidRDefault="005A0670">
      <w:pPr>
        <w:pStyle w:val="Tekstpodstawowy"/>
        <w:spacing w:after="57"/>
        <w:ind w:left="709"/>
      </w:pPr>
    </w:p>
    <w:p w:rsidR="005A0670" w:rsidRDefault="00B807E7">
      <w:pPr>
        <w:pStyle w:val="Tekstpodstawowy"/>
        <w:spacing w:after="57"/>
        <w:rPr>
          <w:u w:val="single"/>
        </w:rPr>
      </w:pPr>
      <w:r>
        <w:rPr>
          <w:u w:val="single"/>
        </w:rPr>
        <w:t>Komentarz ogólny</w:t>
      </w:r>
    </w:p>
    <w:p w:rsidR="005A0670" w:rsidRDefault="00B807E7" w:rsidP="00DD018D">
      <w:pPr>
        <w:spacing w:after="57" w:line="276" w:lineRule="auto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W odniesieniu do </w:t>
      </w:r>
      <w:r>
        <w:rPr>
          <w:rFonts w:ascii="Times New Roman" w:hAnsi="Times New Roman" w:cstheme="minorHAnsi"/>
        </w:rPr>
        <w:t>całej treści ustawy i w szczególności do art. 1 – pro</w:t>
      </w:r>
      <w:r>
        <w:rPr>
          <w:rFonts w:ascii="Times New Roman" w:hAnsi="Times New Roman" w:cstheme="minorHAnsi"/>
        </w:rPr>
        <w:t>jektowana regulacja nie odnosi się do innych niż ujęte w propozycji formy komunikacji elektronicznej takie jak komunikatory oraz media społecznościowe, gdzie szczególnie ostatnio silnie rośnie nadużywanie wysyłania oraz publikowania treści dezinformujących</w:t>
      </w:r>
      <w:r>
        <w:rPr>
          <w:rFonts w:ascii="Times New Roman" w:hAnsi="Times New Roman" w:cstheme="minorHAnsi"/>
        </w:rPr>
        <w:t xml:space="preserve"> oraz wymuszających szkodliwe dla odbiorcy działania.</w:t>
      </w:r>
      <w:r>
        <w:rPr>
          <w:rFonts w:ascii="Times New Roman" w:hAnsi="Times New Roman"/>
        </w:rPr>
        <w:t xml:space="preserve"> W obecnej postaci ustawa tylko częściowo będzie spełniać rolę zwalczania nadużyć w komunikacji elektronicznej. </w:t>
      </w:r>
      <w:bookmarkStart w:id="8" w:name="move1074846731"/>
      <w:bookmarkEnd w:id="8"/>
    </w:p>
    <w:p w:rsidR="005A0670" w:rsidRDefault="00B807E7">
      <w:pPr>
        <w:pStyle w:val="Tekstpodstawowy"/>
        <w:keepNext/>
        <w:keepLines/>
        <w:spacing w:after="57"/>
        <w:rPr>
          <w:u w:val="single"/>
        </w:rPr>
      </w:pPr>
      <w:r>
        <w:t xml:space="preserve"> </w:t>
      </w:r>
      <w:r>
        <w:br/>
      </w:r>
      <w:r>
        <w:rPr>
          <w:u w:val="single"/>
        </w:rPr>
        <w:t>Uwaga ogólna</w:t>
      </w:r>
    </w:p>
    <w:p w:rsidR="005A0670" w:rsidRDefault="00B807E7" w:rsidP="00DD018D">
      <w:pPr>
        <w:keepNext/>
        <w:keepLines/>
        <w:spacing w:after="57" w:line="276" w:lineRule="auto"/>
      </w:pPr>
      <w:r>
        <w:rPr>
          <w:rFonts w:ascii="Times New Roman" w:hAnsi="Times New Roman" w:cstheme="minorHAnsi"/>
        </w:rPr>
        <w:t xml:space="preserve"> W USTAWIE z dnia 7 października 1999 r. o języku polskim (Dz. U. z 2021 r.</w:t>
      </w:r>
      <w:r>
        <w:rPr>
          <w:rFonts w:ascii="Times New Roman" w:hAnsi="Times New Roman" w:cstheme="minorHAnsi"/>
        </w:rPr>
        <w:t xml:space="preserve"> poz. 672) w </w:t>
      </w:r>
      <w:r>
        <w:rPr>
          <w:rFonts w:ascii="Times New Roman" w:hAnsi="Times New Roman"/>
          <w:b/>
          <w:bCs/>
        </w:rPr>
        <w:t>Art. 4. Język polski jest językiem urzędowym: 1) konstytucyjnych organów państwa;</w:t>
      </w:r>
      <w:r>
        <w:rPr>
          <w:rFonts w:ascii="Times New Roman" w:hAnsi="Times New Roman"/>
        </w:rPr>
        <w:t xml:space="preserve"> oraz w  </w:t>
      </w:r>
      <w:r>
        <w:rPr>
          <w:rFonts w:ascii="Times New Roman" w:hAnsi="Times New Roman"/>
          <w:b/>
          <w:bCs/>
        </w:rPr>
        <w:t>Art. 5. 1. Podmioty wykonujące zadania publiczne na terytorium Rzeczypospolitej Polskiej dokonują wszelkich czynności urzędowych oraz składają oświadczen</w:t>
      </w:r>
      <w:r>
        <w:rPr>
          <w:rFonts w:ascii="Times New Roman" w:hAnsi="Times New Roman"/>
          <w:b/>
          <w:bCs/>
        </w:rPr>
        <w:t>ia woli w języku polskim, chyba że przepisy szczególne stanowią inaczej.</w:t>
      </w:r>
      <w:r>
        <w:rPr>
          <w:rFonts w:ascii="Times New Roman" w:hAnsi="Times New Roman"/>
        </w:rPr>
        <w:t xml:space="preserve"> Oznacza to, że również teksty uchwalanych ustaw powinny być w języku polskim, z zastrzeżeniem </w:t>
      </w:r>
      <w:r>
        <w:rPr>
          <w:rFonts w:ascii="Times New Roman" w:hAnsi="Times New Roman" w:cstheme="minorHAnsi"/>
          <w:b/>
          <w:bCs/>
        </w:rPr>
        <w:t>Art. 11. Przepisy art. 5–10 nie dotyczą: 5) zwyczajowo stosowanej terminologii naukowej i</w:t>
      </w:r>
      <w:r>
        <w:rPr>
          <w:rFonts w:ascii="Times New Roman" w:hAnsi="Times New Roman" w:cstheme="minorHAnsi"/>
          <w:b/>
          <w:bCs/>
        </w:rPr>
        <w:t xml:space="preserve"> technicznej;  </w:t>
      </w:r>
    </w:p>
    <w:p w:rsidR="005A0670" w:rsidRDefault="00B807E7">
      <w:pPr>
        <w:spacing w:after="57" w:line="276" w:lineRule="auto"/>
      </w:pPr>
      <w:r>
        <w:rPr>
          <w:rFonts w:ascii="Times New Roman" w:hAnsi="Times New Roman" w:cstheme="minorHAnsi"/>
        </w:rPr>
        <w:t xml:space="preserve">Powyższe zastrzeżenie może być skuteczne jedynie, gdy konieczne do wskazania w treści terminy nie mają odpowiedników w języku polskim.  </w:t>
      </w:r>
    </w:p>
    <w:p w:rsidR="005A0670" w:rsidRDefault="00B807E7">
      <w:pPr>
        <w:spacing w:after="57" w:line="276" w:lineRule="auto"/>
      </w:pPr>
      <w:r>
        <w:rPr>
          <w:rFonts w:ascii="Times New Roman" w:hAnsi="Times New Roman" w:cstheme="minorHAnsi"/>
        </w:rPr>
        <w:t>W przypadku treści projektu ustawy (RD402) proponujemy na terminy:</w:t>
      </w:r>
    </w:p>
    <w:p w:rsidR="005A0670" w:rsidRDefault="00B807E7">
      <w:pPr>
        <w:numPr>
          <w:ilvl w:val="0"/>
          <w:numId w:val="2"/>
        </w:numPr>
        <w:spacing w:after="57" w:line="276" w:lineRule="auto"/>
      </w:pPr>
      <w:r>
        <w:rPr>
          <w:rFonts w:ascii="Times New Roman" w:hAnsi="Times New Roman" w:cstheme="minorHAnsi"/>
        </w:rPr>
        <w:t xml:space="preserve">SMS – krótka wiadomość tekstowa, która w języku polskim, zamiast skrótu SMS, może być opisana terminem  </w:t>
      </w:r>
      <w:r>
        <w:rPr>
          <w:rFonts w:ascii="Times New Roman" w:hAnsi="Times New Roman" w:cstheme="minorHAnsi"/>
          <w:b/>
          <w:bCs/>
        </w:rPr>
        <w:t>esemes</w:t>
      </w:r>
      <w:r>
        <w:rPr>
          <w:rFonts w:ascii="Times New Roman" w:hAnsi="Times New Roman" w:cstheme="minorHAnsi"/>
        </w:rPr>
        <w:t xml:space="preserve"> wraz z możliwością jego odmiany (taki termin występuje w słowniku PWN),</w:t>
      </w:r>
    </w:p>
    <w:p w:rsidR="005A0670" w:rsidRDefault="00B807E7">
      <w:pPr>
        <w:numPr>
          <w:ilvl w:val="0"/>
          <w:numId w:val="2"/>
        </w:numPr>
        <w:spacing w:after="57" w:line="276" w:lineRule="auto"/>
      </w:pPr>
      <w:r>
        <w:rPr>
          <w:rFonts w:ascii="Times New Roman" w:hAnsi="Times New Roman" w:cstheme="minorHAnsi"/>
        </w:rPr>
        <w:t>smishing – szalbierczy esemes</w:t>
      </w:r>
    </w:p>
    <w:p w:rsidR="005A0670" w:rsidRDefault="00B807E7">
      <w:pPr>
        <w:numPr>
          <w:ilvl w:val="0"/>
          <w:numId w:val="2"/>
        </w:numPr>
        <w:spacing w:after="57" w:line="276" w:lineRule="auto"/>
      </w:pPr>
      <w:r>
        <w:rPr>
          <w:rFonts w:ascii="Times New Roman" w:hAnsi="Times New Roman" w:cstheme="minorHAnsi"/>
        </w:rPr>
        <w:t>CLI spoofing – szalbierczy numer dzwoniąceg</w:t>
      </w:r>
      <w:r>
        <w:rPr>
          <w:rFonts w:ascii="Times New Roman" w:hAnsi="Times New Roman" w:cstheme="minorHAnsi"/>
        </w:rPr>
        <w:t xml:space="preserve">o </w:t>
      </w:r>
    </w:p>
    <w:p w:rsidR="005A0670" w:rsidRDefault="00B807E7">
      <w:pPr>
        <w:spacing w:after="57" w:line="276" w:lineRule="auto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Proponując wprowadzenie terminu </w:t>
      </w:r>
      <w:r>
        <w:rPr>
          <w:rFonts w:ascii="Times New Roman" w:hAnsi="Times New Roman" w:cstheme="minorHAnsi"/>
          <w:b/>
          <w:bCs/>
        </w:rPr>
        <w:t xml:space="preserve">szalbierczy </w:t>
      </w:r>
      <w:r>
        <w:rPr>
          <w:rFonts w:ascii="Times New Roman" w:hAnsi="Times New Roman" w:cstheme="minorHAnsi"/>
        </w:rPr>
        <w:t>jednoznacznie wskazujemy na negatywny odbiór takiego esemesa oraz rozmowy z podszywającego się numeru dzwoniącego. Termin ten można też używać przypadku phishingu – szalbierczej strony oraz szalbierczego mejla</w:t>
      </w:r>
      <w:r>
        <w:rPr>
          <w:rFonts w:ascii="Times New Roman" w:hAnsi="Times New Roman" w:cstheme="minorHAnsi"/>
        </w:rPr>
        <w:t>. Tekst tej ustawy może przy tej okazji również wprowadzić polską jednoznacznie zrozumiałą terminologię ostrzegania przed nadużyciami w komunikacji elektronicznej.</w:t>
      </w:r>
    </w:p>
    <w:p w:rsidR="005A0670" w:rsidRDefault="005A0670">
      <w:pPr>
        <w:spacing w:after="57" w:line="276" w:lineRule="auto"/>
        <w:rPr>
          <w:rFonts w:ascii="Times New Roman" w:hAnsi="Times New Roman" w:cstheme="minorHAnsi"/>
        </w:rPr>
      </w:pPr>
    </w:p>
    <w:p w:rsidR="005A0670" w:rsidRDefault="00B807E7">
      <w:pPr>
        <w:spacing w:after="57" w:line="276" w:lineRule="auto"/>
      </w:pPr>
      <w:r>
        <w:rPr>
          <w:rFonts w:ascii="Times New Roman" w:hAnsi="Times New Roman" w:cstheme="minorHAnsi"/>
        </w:rPr>
        <w:t xml:space="preserve">Opracował zespół: </w:t>
      </w:r>
      <w:r w:rsidR="000E5C44">
        <w:rPr>
          <w:rFonts w:ascii="Times New Roman" w:hAnsi="Times New Roman" w:cstheme="minorHAnsi"/>
        </w:rPr>
        <w:t>Wacław Iszkowski, Witold Rakoczy, Andrzej Szczerba; współpraca i redakcja: Janusz Dorożyński</w:t>
      </w:r>
    </w:p>
    <w:p w:rsidR="005A0670" w:rsidRDefault="005A0670">
      <w:pPr>
        <w:pStyle w:val="Tekstpodstawowy"/>
        <w:spacing w:after="57"/>
      </w:pPr>
    </w:p>
    <w:sectPr w:rsidR="005A0670">
      <w:headerReference w:type="default" r:id="rId7"/>
      <w:footerReference w:type="default" r:id="rId8"/>
      <w:pgSz w:w="11906" w:h="16838"/>
      <w:pgMar w:top="1134" w:right="1134" w:bottom="1693" w:left="1134" w:header="0" w:footer="1134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E7" w:rsidRDefault="00B807E7">
      <w:r>
        <w:separator/>
      </w:r>
    </w:p>
  </w:endnote>
  <w:endnote w:type="continuationSeparator" w:id="0">
    <w:p w:rsidR="00B807E7" w:rsidRDefault="00B8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0" w:rsidRDefault="00B807E7">
    <w:pPr>
      <w:pStyle w:val="Stopka"/>
      <w:jc w:val="right"/>
    </w:pPr>
    <w:r>
      <w:t xml:space="preserve">                      </w:t>
    </w:r>
    <w:r>
      <w:rPr>
        <w:sz w:val="20"/>
        <w:szCs w:val="20"/>
      </w:rPr>
      <w:t xml:space="preserve">  Opinia PTI w sprawie projektu Ustawy o zwalczaniu nadużyć w komunikacji elektronicznej   </w:t>
    </w: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E7" w:rsidRDefault="00B807E7">
      <w:r>
        <w:separator/>
      </w:r>
    </w:p>
  </w:footnote>
  <w:footnote w:type="continuationSeparator" w:id="0">
    <w:p w:rsidR="00B807E7" w:rsidRDefault="00B8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0" w:rsidRDefault="005A06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C83"/>
    <w:multiLevelType w:val="multilevel"/>
    <w:tmpl w:val="ED5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B8B5D80"/>
    <w:multiLevelType w:val="multilevel"/>
    <w:tmpl w:val="A43054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D6090E"/>
    <w:multiLevelType w:val="multilevel"/>
    <w:tmpl w:val="0F4E8B6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70"/>
    <w:rsid w:val="00055DDF"/>
    <w:rsid w:val="000E5C44"/>
    <w:rsid w:val="002C72CC"/>
    <w:rsid w:val="00345EDC"/>
    <w:rsid w:val="00524CAB"/>
    <w:rsid w:val="0053453F"/>
    <w:rsid w:val="005A0670"/>
    <w:rsid w:val="00877370"/>
    <w:rsid w:val="00B807E7"/>
    <w:rsid w:val="00D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E2B2"/>
  <w15:docId w15:val="{6DA9B11C-8E6E-4895-A770-FD7AE40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79"/>
  </w:style>
  <w:style w:type="paragraph" w:styleId="Nagwek2">
    <w:name w:val="heading 2"/>
    <w:basedOn w:val="Nagwek"/>
    <w:next w:val="Tekstpodstawowy"/>
    <w:qFormat/>
    <w:rsid w:val="00BB6679"/>
    <w:pPr>
      <w:spacing w:before="200" w:after="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Ppogrubienie">
    <w:name w:val="_P_ – pogrubienie"/>
    <w:basedOn w:val="Domylnaczcionkaakapitu"/>
    <w:qFormat/>
    <w:rPr>
      <w:b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podstawowyZnak">
    <w:name w:val="Tekst podstawowy Znak"/>
    <w:basedOn w:val="Domylnaczcionkaakapitu"/>
    <w:link w:val="Tekstpodstawowy"/>
    <w:qFormat/>
    <w:rsid w:val="00A635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6679"/>
    <w:rPr>
      <w:rFonts w:ascii="Segoe UI" w:hAnsi="Segoe UI" w:cs="Mangal"/>
      <w:sz w:val="18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BB6679"/>
    <w:pPr>
      <w:spacing w:after="140" w:line="276" w:lineRule="auto"/>
    </w:pPr>
  </w:style>
  <w:style w:type="paragraph" w:styleId="Lista">
    <w:name w:val="List"/>
    <w:basedOn w:val="Tekstpodstawowy"/>
    <w:rsid w:val="00BB6679"/>
  </w:style>
  <w:style w:type="paragraph" w:styleId="Legenda">
    <w:name w:val="caption"/>
    <w:basedOn w:val="Normalny"/>
    <w:qFormat/>
    <w:rsid w:val="00BB66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6679"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rsid w:val="00BB6679"/>
    <w:pPr>
      <w:suppressLineNumbers/>
      <w:ind w:left="339" w:hanging="339"/>
    </w:pPr>
    <w:rPr>
      <w:sz w:val="20"/>
      <w:szCs w:val="20"/>
    </w:rPr>
  </w:style>
  <w:style w:type="paragraph" w:customStyle="1" w:styleId="ODNONIKtreodnonika">
    <w:name w:val="ODNOŚNIK – treść odnośnika"/>
    <w:qFormat/>
    <w:rsid w:val="00BB6679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BB6679"/>
    <w:pPr>
      <w:keepNext/>
      <w:spacing w:before="120" w:after="360" w:line="360" w:lineRule="auto"/>
      <w:jc w:val="center"/>
    </w:pPr>
    <w:rPr>
      <w:rFonts w:cs="Arial"/>
      <w:b/>
      <w:bCs/>
    </w:rPr>
  </w:style>
  <w:style w:type="paragraph" w:customStyle="1" w:styleId="ARTartustawynprozporzdzenia">
    <w:name w:val="ART(§) – art. ustawy (§ np. rozporządzenia)"/>
    <w:qFormat/>
    <w:rsid w:val="00BB6679"/>
    <w:pPr>
      <w:spacing w:before="120" w:line="360" w:lineRule="auto"/>
      <w:ind w:firstLine="510"/>
      <w:jc w:val="both"/>
    </w:pPr>
    <w:rPr>
      <w:rFonts w:cs="Arial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B6679"/>
    <w:pPr>
      <w:spacing w:line="360" w:lineRule="auto"/>
      <w:jc w:val="right"/>
    </w:pPr>
    <w:rPr>
      <w:rFonts w:ascii="Times New Roman" w:hAnsi="Times New Roman" w:cs="Arial"/>
      <w:szCs w:val="20"/>
      <w:u w:val="singl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BB6679"/>
    <w:pPr>
      <w:keepNext/>
      <w:spacing w:after="120" w:line="360" w:lineRule="auto"/>
      <w:jc w:val="center"/>
    </w:pPr>
    <w:rPr>
      <w:b/>
      <w:bCs/>
      <w:caps/>
      <w:spacing w:val="54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BB6679"/>
    <w:pPr>
      <w:keepNext/>
      <w:spacing w:before="120" w:after="120" w:line="360" w:lineRule="auto"/>
      <w:jc w:val="center"/>
    </w:pPr>
    <w:rPr>
      <w:rFonts w:cs="Arial"/>
      <w:bCs/>
    </w:rPr>
  </w:style>
  <w:style w:type="paragraph" w:customStyle="1" w:styleId="PKTpunkt">
    <w:name w:val="PKT – punkt"/>
    <w:qFormat/>
    <w:rsid w:val="00BB6679"/>
    <w:pPr>
      <w:spacing w:line="360" w:lineRule="auto"/>
      <w:ind w:left="510" w:hanging="510"/>
      <w:jc w:val="both"/>
    </w:pPr>
    <w:rPr>
      <w:rFonts w:cs="Arial"/>
      <w:bCs/>
      <w:szCs w:val="20"/>
    </w:rPr>
  </w:style>
  <w:style w:type="paragraph" w:customStyle="1" w:styleId="USTustnpkodeksu">
    <w:name w:val="UST(§) – ust. (§ np. kodeksu)"/>
    <w:basedOn w:val="ARTartustawynprozporzdzenia"/>
    <w:qFormat/>
    <w:rsid w:val="00BB6679"/>
    <w:pPr>
      <w:spacing w:before="0"/>
    </w:pPr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qFormat/>
    <w:rsid w:val="00BB6679"/>
    <w:pPr>
      <w:ind w:left="0" w:firstLine="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B6679"/>
    <w:pPr>
      <w:jc w:val="center"/>
    </w:pPr>
    <w:rPr>
      <w:b/>
      <w:bCs/>
    </w:rPr>
  </w:style>
  <w:style w:type="paragraph" w:styleId="Stopka">
    <w:name w:val="footer"/>
    <w:basedOn w:val="Gwkaistopka"/>
    <w:rsid w:val="00BB6679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667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Dorożyński</dc:creator>
  <dc:description/>
  <cp:lastModifiedBy>Janusz Dorożyński</cp:lastModifiedBy>
  <cp:revision>3</cp:revision>
  <dcterms:created xsi:type="dcterms:W3CDTF">2022-07-04T04:31:00Z</dcterms:created>
  <dcterms:modified xsi:type="dcterms:W3CDTF">2022-07-04T04:51:00Z</dcterms:modified>
  <dc:language>pl-PL</dc:language>
</cp:coreProperties>
</file>